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5B4914" w:rsidRPr="005B4914" w14:paraId="561AB682" w14:textId="77777777" w:rsidTr="005B4914">
        <w:trPr>
          <w:trHeight w:val="3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2036" w14:textId="77777777" w:rsidR="005B4914" w:rsidRPr="005B4914" w:rsidRDefault="005B4914" w:rsidP="00046D7F">
            <w:pPr>
              <w:autoSpaceDE/>
              <w:autoSpaceDN/>
              <w:adjustRightInd/>
              <w:spacing w:line="240" w:lineRule="auto"/>
              <w:ind w:left="-90"/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</w:pPr>
            <w:r w:rsidRPr="005B4914"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  <w:t>IMPORTANT TAX INFORMATION</w:t>
            </w:r>
          </w:p>
        </w:tc>
      </w:tr>
      <w:tr w:rsidR="005B4914" w:rsidRPr="005B4914" w14:paraId="60641D9B" w14:textId="77777777" w:rsidTr="00046D7F">
        <w:trPr>
          <w:trHeight w:val="387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7743" w14:textId="77777777" w:rsidR="005B4914" w:rsidRPr="005B4914" w:rsidRDefault="005B4914" w:rsidP="00046D7F">
            <w:pPr>
              <w:autoSpaceDE/>
              <w:autoSpaceDN/>
              <w:adjustRightInd/>
              <w:spacing w:line="240" w:lineRule="auto"/>
              <w:ind w:left="-90"/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</w:pPr>
            <w:r w:rsidRPr="005B4914"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  <w:t>QUALIFIED INTEREST INCOME (QII) DIVIDEND REPORT</w:t>
            </w:r>
          </w:p>
        </w:tc>
      </w:tr>
      <w:tr w:rsidR="005B4914" w:rsidRPr="005B4914" w14:paraId="0D014E4A" w14:textId="77777777" w:rsidTr="005B4914">
        <w:trPr>
          <w:trHeight w:val="3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C18" w14:textId="77777777" w:rsidR="005B4914" w:rsidRPr="005B4914" w:rsidRDefault="005B4914" w:rsidP="00046D7F">
            <w:pPr>
              <w:autoSpaceDE/>
              <w:autoSpaceDN/>
              <w:adjustRightInd/>
              <w:spacing w:line="240" w:lineRule="auto"/>
              <w:ind w:left="-90"/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</w:pPr>
            <w:r w:rsidRPr="005B4914">
              <w:rPr>
                <w:rFonts w:ascii="Equip" w:eastAsia="Times New Roman" w:hAnsi="Equip" w:cs="Times New Roman"/>
                <w:bCs/>
                <w:color w:val="auto"/>
                <w:sz w:val="28"/>
                <w:szCs w:val="28"/>
              </w:rPr>
              <w:t>TAX YEAR 2017</w:t>
            </w:r>
          </w:p>
        </w:tc>
      </w:tr>
    </w:tbl>
    <w:p w14:paraId="57337E1D" w14:textId="77777777" w:rsidR="0088782E" w:rsidRDefault="0088782E" w:rsidP="00046D7F">
      <w:pPr>
        <w:autoSpaceDE/>
        <w:autoSpaceDN/>
        <w:adjustRightInd/>
        <w:spacing w:line="240" w:lineRule="auto"/>
        <w:ind w:left="-9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D7A069C" w14:textId="77777777" w:rsidR="0088782E" w:rsidRDefault="0088782E" w:rsidP="00A323E3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F87C908" w14:textId="6F241B2D" w:rsidR="00A323E3" w:rsidRPr="00EA70F3" w:rsidRDefault="00A323E3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January </w:t>
      </w:r>
      <w:r w:rsidR="0088782E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9, 2018</w:t>
      </w:r>
    </w:p>
    <w:p w14:paraId="3903703D" w14:textId="77777777" w:rsidR="00CB4B54" w:rsidRPr="00EA70F3" w:rsidRDefault="00CB4B54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14FE3B8" w14:textId="04F5FE93" w:rsidR="00FC4F16" w:rsidRPr="00FC4F16" w:rsidRDefault="00FC4F16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C4F16">
        <w:rPr>
          <w:rFonts w:ascii="Times New Roman" w:eastAsia="Times New Roman" w:hAnsi="Times New Roman" w:cs="Times New Roman"/>
          <w:sz w:val="20"/>
          <w:szCs w:val="20"/>
        </w:rPr>
        <w:t xml:space="preserve">The American Jobs Creation Act allows a Regulated Investment Company (RIC) to designate interest related dividends and qualified short-term capital gains that are exempt from U.S. withholding taxes for foreign investors, not considered a U.S. person, for tax years after December 31, 2004. The Protecting Americans from Tax Hicks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FC4F16">
        <w:rPr>
          <w:rFonts w:ascii="Times New Roman" w:eastAsia="Times New Roman" w:hAnsi="Times New Roman" w:cs="Times New Roman"/>
          <w:sz w:val="20"/>
          <w:szCs w:val="20"/>
        </w:rPr>
        <w:t>Act of 2015 (the PATH Act) makes permanent the section 871(k) flow-through provisions, which provide more equitable U.S. withholding tax treatment for distributions of interest and short-term capital gains to foreign shareholders. </w:t>
      </w:r>
    </w:p>
    <w:p w14:paraId="70DAA9E5" w14:textId="40DFC2B7" w:rsidR="0088782E" w:rsidRDefault="0088782E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color w:val="221E1F"/>
          <w:sz w:val="22"/>
          <w:szCs w:val="22"/>
        </w:rPr>
      </w:pPr>
    </w:p>
    <w:p w14:paraId="468149ED" w14:textId="77777777" w:rsidR="00FC4F16" w:rsidRPr="00FC4F16" w:rsidRDefault="00FC4F16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C4F16">
        <w:rPr>
          <w:rFonts w:ascii="Times New Roman" w:eastAsia="Times New Roman" w:hAnsi="Times New Roman" w:cs="Times New Roman"/>
          <w:sz w:val="20"/>
          <w:szCs w:val="20"/>
        </w:rPr>
        <w:t>The following table lists the year-to-date percentages of qualified interest income and short-term capital gains for the Northern and Northern Institutional Funds as of December 31, 2017:</w:t>
      </w:r>
    </w:p>
    <w:p w14:paraId="0CDCA764" w14:textId="77777777" w:rsidR="00CB4B54" w:rsidRPr="00EC5E34" w:rsidRDefault="00CB4B54" w:rsidP="00CB4B54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77"/>
        <w:gridCol w:w="1260"/>
        <w:gridCol w:w="2340"/>
        <w:gridCol w:w="2098"/>
      </w:tblGrid>
      <w:tr w:rsidR="00FC4F16" w:rsidRPr="003A220B" w14:paraId="4F60EA2D" w14:textId="77777777" w:rsidTr="00FC4F16">
        <w:trPr>
          <w:trHeight w:val="285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6CF1" w14:textId="40BBA586" w:rsidR="00FC4F16" w:rsidRPr="003A220B" w:rsidRDefault="00FC4F16" w:rsidP="007633FA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Northern Funds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60336" w14:textId="52D848BC" w:rsidR="00FC4F16" w:rsidRPr="003A220B" w:rsidRDefault="00FC4F16" w:rsidP="00FC4F16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Cusip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60828" w14:textId="6179E26D" w:rsidR="00FC4F16" w:rsidRPr="003A220B" w:rsidRDefault="00FC4F16" w:rsidP="00FC4F16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NRA Exempt Qualified Interest Income (QII)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53C2B1" w14:textId="7B2EED58" w:rsidR="00FC4F16" w:rsidRPr="003A220B" w:rsidRDefault="00FC4F16" w:rsidP="00FC4F16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NRA Exempt Short-Term Capital Gain</w:t>
            </w:r>
          </w:p>
        </w:tc>
      </w:tr>
      <w:tr w:rsidR="00FC4F16" w:rsidRPr="003A220B" w14:paraId="682C464F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8D13" w14:textId="044068EA" w:rsidR="00FC4F16" w:rsidRDefault="00FC4F16" w:rsidP="007633FA">
            <w:pPr>
              <w:autoSpaceDE/>
              <w:autoSpaceDN/>
              <w:adjustRightInd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Money Market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BBE" w14:textId="0CBD704D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665162855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A9B2" w14:textId="79F0F4BA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271EEB0E" w14:textId="3A00A2C7" w:rsidR="00FC4F16" w:rsidRDefault="00FC4F16" w:rsidP="00FC4F16">
            <w:pPr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FC4F16" w:rsidRPr="003A220B" w14:paraId="60B956EA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36D2" w14:textId="2BDDDE6F" w:rsidR="00FC4F16" w:rsidRDefault="00FC4F16" w:rsidP="007633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Municipal Money Market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BBE7" w14:textId="34AC5E0B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665162830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6DCD" w14:textId="546CB43A" w:rsidR="00FC4F16" w:rsidRDefault="00A725AE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 w:rsidR="00FC4F16">
              <w:rPr>
                <w:rFonts w:eastAsia="Times New Roman"/>
                <w:sz w:val="18"/>
                <w:szCs w:val="18"/>
              </w:rPr>
              <w:t>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A3725FD" w14:textId="05C15E3D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FC4F16" w:rsidRPr="003A220B" w14:paraId="7C35F817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4073" w14:textId="1B8D0CFD" w:rsidR="00FC4F16" w:rsidRDefault="00FC4F16" w:rsidP="007633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U.S. Government Money Market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5C5" w14:textId="3B1BB1F6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665162848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1FD0" w14:textId="4412D572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62413FB5" w14:textId="2D6EC8C9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FC4F16" w:rsidRPr="003A220B" w14:paraId="3E6F0898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56E" w14:textId="04321828" w:rsidR="00FC4F16" w:rsidRDefault="00FC4F16" w:rsidP="007633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U.S. Government Select Money Market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C62A" w14:textId="645C76E6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665162822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24DC" w14:textId="1EF15A5C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1E9B91B" w14:textId="06A31724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FC4F16" w:rsidRPr="003A220B" w14:paraId="4F3AD283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A26" w14:textId="6580F4F3" w:rsidR="00FC4F16" w:rsidRDefault="00FC4F16" w:rsidP="007633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Ultra-Short Fixed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CFDC" w14:textId="3F754CEE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665162467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EC69" w14:textId="694AEBAF" w:rsidR="00FC4F16" w:rsidRDefault="00A725AE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="00FC4F16">
              <w:rPr>
                <w:rFonts w:eastAsia="Times New Roman"/>
                <w:sz w:val="18"/>
                <w:szCs w:val="18"/>
              </w:rPr>
              <w:t>75.33%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3B9B488B" w14:textId="0A2D665D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FC4F16" w:rsidRPr="003A220B" w14:paraId="04503666" w14:textId="77777777" w:rsidTr="00FC4F16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983" w14:textId="017C44F3" w:rsidR="00FC4F16" w:rsidRDefault="00FC4F16" w:rsidP="007633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High Yield Fixed 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BFA" w14:textId="6C2E5E1C" w:rsidR="00FC4F16" w:rsidRDefault="00FC4F16" w:rsidP="00FC4F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665162699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A0F0" w14:textId="7A4097E0" w:rsidR="00FC4F16" w:rsidRDefault="00A725AE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="00FC4F16">
              <w:rPr>
                <w:rFonts w:eastAsia="Times New Roman"/>
                <w:sz w:val="18"/>
                <w:szCs w:val="18"/>
              </w:rPr>
              <w:t>83.22%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2F4EFD17" w14:textId="5D103379" w:rsidR="00FC4F16" w:rsidRDefault="00FC4F16" w:rsidP="00FC4F16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</w:tbl>
    <w:p w14:paraId="6861A4A3" w14:textId="77777777" w:rsidR="00FC4F16" w:rsidRDefault="00FC4F16" w:rsidP="00CB4B54">
      <w:pPr>
        <w:autoSpaceDE/>
        <w:autoSpaceDN/>
        <w:adjustRightInd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77"/>
        <w:gridCol w:w="1260"/>
        <w:gridCol w:w="2340"/>
        <w:gridCol w:w="2098"/>
      </w:tblGrid>
      <w:tr w:rsidR="00FC4F16" w:rsidRPr="003A220B" w14:paraId="07D0135D" w14:textId="77777777" w:rsidTr="00DE55B0">
        <w:trPr>
          <w:trHeight w:val="285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04A" w14:textId="423D3E5C" w:rsidR="00FC4F16" w:rsidRPr="003A220B" w:rsidRDefault="00FC4F16" w:rsidP="00DE55B0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Northern Institutional Funds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03F4C" w14:textId="621129AD" w:rsidR="00FC4F16" w:rsidRPr="003A220B" w:rsidRDefault="00FC4F16" w:rsidP="00DE55B0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Cusip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2D56" w14:textId="2EB7EFDE" w:rsidR="00FC4F16" w:rsidRPr="003A220B" w:rsidRDefault="00FC4F16" w:rsidP="00DE55B0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NRA Exempt Qualified Interest Income (QII)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DD1734" w14:textId="7D0BD94C" w:rsidR="00FC4F16" w:rsidRPr="003A220B" w:rsidRDefault="00FC4F16" w:rsidP="00DE55B0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NRA Exempt Short-Term Capital Gain</w:t>
            </w:r>
          </w:p>
        </w:tc>
      </w:tr>
      <w:tr w:rsidR="00FC4F16" w:rsidRPr="003A220B" w14:paraId="3D7B829D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8B9" w14:textId="65BDDAFF" w:rsidR="00FC4F16" w:rsidRDefault="00FC4F16" w:rsidP="00DE55B0">
            <w:pPr>
              <w:autoSpaceDE/>
              <w:autoSpaceDN/>
              <w:adjustRightInd/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Government Assets Portfolio*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D585" w14:textId="77777777" w:rsidR="00FC4F16" w:rsidRDefault="00FC4F16" w:rsidP="00E61616">
            <w:pPr>
              <w:spacing w:line="22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665278107</w:t>
            </w:r>
          </w:p>
          <w:p w14:paraId="6A962188" w14:textId="77777777" w:rsidR="00A725AE" w:rsidRDefault="00A725AE" w:rsidP="00E61616">
            <w:pPr>
              <w:spacing w:line="220" w:lineRule="exac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665278206</w:t>
            </w:r>
          </w:p>
          <w:p w14:paraId="5786C50D" w14:textId="1C913BEB" w:rsidR="00A725AE" w:rsidRDefault="00A725AE" w:rsidP="00E61616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665278305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6760" w14:textId="2C22A50E" w:rsidR="00FC4F16" w:rsidRDefault="00FC4F16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684BE0B" w14:textId="7AAC0E01" w:rsidR="00FC4F16" w:rsidRDefault="00FC4F16" w:rsidP="00DE55B0">
            <w:pPr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Arial"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A725AE" w:rsidRPr="003A220B" w14:paraId="1E0DC83D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380" w14:textId="6FA1106B" w:rsidR="00A725AE" w:rsidRDefault="00A725AE" w:rsidP="00DE5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U.S. Government Portfolio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2645" w14:textId="3D637742" w:rsidR="00A725AE" w:rsidRDefault="00A725AE" w:rsidP="00E61616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665278404 665278503 665278602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E6C8" w14:textId="3F8403AC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BAF4598" w14:textId="46685532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A725AE" w:rsidRPr="003A220B" w14:paraId="4A3C2D33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4D8" w14:textId="2E2A2430" w:rsidR="00A725AE" w:rsidRDefault="00A725AE" w:rsidP="00DE5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Municipal Portfolio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D4A" w14:textId="1E2B0C54" w:rsidR="00A725AE" w:rsidRDefault="00A725AE" w:rsidP="00E61616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665278248 665278255 665278263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29E9" w14:textId="203FAEAE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0.15%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077FBB2C" w14:textId="63A6201F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A725AE" w:rsidRPr="003A220B" w14:paraId="77444604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96F" w14:textId="4F2F1945" w:rsidR="00A725AE" w:rsidRDefault="00A725AE" w:rsidP="00DE5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U.S. Government Select Portfolio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5AE0" w14:textId="7A76BA9B" w:rsidR="00A725AE" w:rsidRDefault="00A725AE" w:rsidP="00E61616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665278701 665278800 665278883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51C04" w14:textId="6E413A62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7B90A62F" w14:textId="0DE6BCE7" w:rsidR="00A725AE" w:rsidRDefault="00A725AE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E61616" w:rsidRPr="003A220B" w14:paraId="62EF0347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A91F" w14:textId="2F2168F0" w:rsidR="00E61616" w:rsidRDefault="00E61616" w:rsidP="00DE55B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Treasury Portfolio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3391" w14:textId="77777777" w:rsidR="00E61616" w:rsidRPr="00E61616" w:rsidRDefault="00E61616" w:rsidP="00E61616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616">
              <w:rPr>
                <w:rFonts w:ascii="Times New Roman" w:eastAsia="Times New Roman" w:hAnsi="Times New Roman" w:cs="Times New Roman"/>
                <w:sz w:val="18"/>
                <w:szCs w:val="18"/>
              </w:rPr>
              <w:t>665279808</w:t>
            </w:r>
          </w:p>
          <w:p w14:paraId="37B5CDA0" w14:textId="5BDD574F" w:rsidR="00E61616" w:rsidRPr="00E61616" w:rsidRDefault="00E61616" w:rsidP="00E61616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616">
              <w:rPr>
                <w:rFonts w:ascii="Times New Roman" w:eastAsia="Times New Roman" w:hAnsi="Times New Roman" w:cs="Times New Roman"/>
                <w:sz w:val="18"/>
                <w:szCs w:val="18"/>
              </w:rPr>
              <w:t>665279873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31EA" w14:textId="465EA2E8" w:rsidR="00E61616" w:rsidRDefault="00E61616" w:rsidP="00DE55B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53EDC017" w14:textId="379C763F" w:rsidR="00E61616" w:rsidRDefault="00E61616" w:rsidP="00DE55B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  <w:tr w:rsidR="00E61616" w:rsidRPr="003A220B" w14:paraId="105993B9" w14:textId="77777777" w:rsidTr="00DE55B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BDB" w14:textId="32AC59E7" w:rsidR="00E61616" w:rsidRDefault="00E61616" w:rsidP="00DE55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Prime Obligations Portfolio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289" w14:textId="7435EA5D" w:rsidR="00E61616" w:rsidRDefault="00E61616" w:rsidP="00DE55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665279204</w:t>
            </w:r>
          </w:p>
        </w:tc>
        <w:tc>
          <w:tcPr>
            <w:tcW w:w="23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A188" w14:textId="1758FB66" w:rsidR="00E61616" w:rsidRDefault="00E61616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98.29%</w:t>
            </w:r>
          </w:p>
        </w:tc>
        <w:tc>
          <w:tcPr>
            <w:tcW w:w="2098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auto"/>
            </w:tcBorders>
            <w:vAlign w:val="center"/>
          </w:tcPr>
          <w:p w14:paraId="40D39721" w14:textId="493F2AC7" w:rsidR="00E61616" w:rsidRDefault="00E61616" w:rsidP="00DE55B0">
            <w:pPr>
              <w:jc w:val="center"/>
              <w:rPr>
                <w:rFonts w:ascii="Calibri" w:eastAsia="Times New Roman" w:hAnsi="Calibri" w:cs="Arial"/>
                <w:sz w:val="22"/>
                <w:szCs w:val="22"/>
              </w:rPr>
            </w:pPr>
            <w:r>
              <w:rPr>
                <w:rFonts w:eastAsia="Times New Roman"/>
                <w:sz w:val="18"/>
                <w:szCs w:val="18"/>
              </w:rPr>
              <w:t>0.00%</w:t>
            </w:r>
          </w:p>
        </w:tc>
      </w:tr>
    </w:tbl>
    <w:p w14:paraId="780062FC" w14:textId="77777777" w:rsidR="00CB4B54" w:rsidRDefault="00CB4B54" w:rsidP="00CB4B54">
      <w:pPr>
        <w:autoSpaceDE/>
        <w:autoSpaceDN/>
        <w:adjustRightInd/>
        <w:spacing w:line="240" w:lineRule="auto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14:paraId="3D0C9FF1" w14:textId="77777777" w:rsidR="00FC4F16" w:rsidRDefault="00FC4F16" w:rsidP="00FC4F16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4F16">
        <w:rPr>
          <w:rFonts w:ascii="Times New Roman" w:eastAsia="Times New Roman" w:hAnsi="Times New Roman" w:cs="Times New Roman"/>
          <w:sz w:val="20"/>
          <w:szCs w:val="20"/>
        </w:rPr>
        <w:t>* CLOSED 11/30/2017</w:t>
      </w:r>
    </w:p>
    <w:p w14:paraId="231D5184" w14:textId="77777777" w:rsidR="00FC4F16" w:rsidRPr="00FC4F16" w:rsidRDefault="00FC4F16" w:rsidP="00FC4F16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850C35" w14:textId="77777777" w:rsidR="00FC4F16" w:rsidRPr="00FC4F16" w:rsidRDefault="00FC4F16" w:rsidP="00046D7F">
      <w:pPr>
        <w:autoSpaceDE/>
        <w:autoSpaceDN/>
        <w:adjustRightInd/>
        <w:spacing w:line="240" w:lineRule="auto"/>
        <w:ind w:left="90"/>
        <w:rPr>
          <w:rFonts w:ascii="Times New Roman" w:eastAsia="Times New Roman" w:hAnsi="Times New Roman" w:cs="Times New Roman"/>
          <w:sz w:val="20"/>
          <w:szCs w:val="20"/>
        </w:rPr>
      </w:pPr>
      <w:r w:rsidRPr="00FC4F16">
        <w:rPr>
          <w:rFonts w:ascii="Times New Roman" w:eastAsia="Times New Roman" w:hAnsi="Times New Roman" w:cs="Times New Roman"/>
          <w:sz w:val="20"/>
          <w:szCs w:val="20"/>
        </w:rPr>
        <w:t>Northern Trust does not provide tax advice. Please note that (</w:t>
      </w:r>
      <w:proofErr w:type="spellStart"/>
      <w:r w:rsidRPr="00FC4F1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FC4F16">
        <w:rPr>
          <w:rFonts w:ascii="Times New Roman" w:eastAsia="Times New Roman" w:hAnsi="Times New Roman" w:cs="Times New Roman"/>
          <w:sz w:val="20"/>
          <w:szCs w:val="20"/>
        </w:rPr>
        <w:t xml:space="preserve">) any discussion of U.S. tax matters contained in this communication (including any attachments) cannot be used by you for the purpose of avoiding tax penalties; (ii) this communication was written to support the promotion or marketing of the matters addressed herein: and (iii) you should seek advice based on your particular circumstances from an independent tax advisor. </w:t>
      </w:r>
    </w:p>
    <w:p w14:paraId="760316BC" w14:textId="77777777" w:rsidR="00CB4B54" w:rsidRDefault="00CB4B54" w:rsidP="00CB4B54">
      <w:pPr>
        <w:autoSpaceDE/>
        <w:autoSpaceDN/>
        <w:adjustRightInd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720"/>
      </w:tblGrid>
      <w:tr w:rsidR="00CB4B54" w:rsidRPr="00EA70F3" w14:paraId="54BCF5E7" w14:textId="77777777" w:rsidTr="00FC4F16">
        <w:trPr>
          <w:trHeight w:val="269"/>
          <w:jc w:val="center"/>
        </w:trPr>
        <w:tc>
          <w:tcPr>
            <w:tcW w:w="3240" w:type="dxa"/>
          </w:tcPr>
          <w:p w14:paraId="6F8C2FAB" w14:textId="77777777" w:rsidR="00CB4B54" w:rsidRPr="00EA70F3" w:rsidRDefault="00CB4B54" w:rsidP="007633FA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7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NOT FDIC INSURED</w:t>
            </w:r>
          </w:p>
        </w:tc>
        <w:tc>
          <w:tcPr>
            <w:tcW w:w="3720" w:type="dxa"/>
          </w:tcPr>
          <w:p w14:paraId="700D993F" w14:textId="77777777" w:rsidR="00CB4B54" w:rsidRPr="00EA70F3" w:rsidRDefault="00CB4B54" w:rsidP="007633FA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70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May lose value / No bank guarantee</w:t>
            </w:r>
          </w:p>
        </w:tc>
      </w:tr>
    </w:tbl>
    <w:p w14:paraId="70328E09" w14:textId="77777777" w:rsidR="00CB4B54" w:rsidRPr="00633EBD" w:rsidRDefault="00CB4B54" w:rsidP="00FC4F16"/>
    <w:sectPr w:rsidR="00CB4B54" w:rsidRPr="00633EBD" w:rsidSect="00A725AE">
      <w:headerReference w:type="first" r:id="rId6"/>
      <w:footerReference w:type="first" r:id="rId7"/>
      <w:pgSz w:w="12240" w:h="15840"/>
      <w:pgMar w:top="1071" w:right="1440" w:bottom="198" w:left="1440" w:header="533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87689" w14:textId="77777777" w:rsidR="00895BC3" w:rsidRDefault="00895BC3" w:rsidP="00253E32">
      <w:pPr>
        <w:spacing w:line="240" w:lineRule="auto"/>
      </w:pPr>
      <w:r>
        <w:separator/>
      </w:r>
    </w:p>
  </w:endnote>
  <w:endnote w:type="continuationSeparator" w:id="0">
    <w:p w14:paraId="5F7A96E5" w14:textId="77777777" w:rsidR="00895BC3" w:rsidRDefault="00895BC3" w:rsidP="00253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inion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quip">
    <w:panose1 w:val="02000503030000020004"/>
    <w:charset w:val="00"/>
    <w:family w:val="auto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26D0" w14:textId="2FEA2AA8" w:rsidR="0097132C" w:rsidRDefault="00895BC3" w:rsidP="00B25007">
    <w:pPr>
      <w:pStyle w:val="Footer"/>
      <w:spacing w:before="240" w:line="240" w:lineRule="auto"/>
    </w:pPr>
  </w:p>
  <w:p w14:paraId="59DBCBC2" w14:textId="457334B7" w:rsidR="00992CDC" w:rsidRDefault="00895BC3" w:rsidP="00992C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676F" w14:textId="77777777" w:rsidR="00895BC3" w:rsidRDefault="00895BC3" w:rsidP="00253E32">
      <w:pPr>
        <w:spacing w:line="240" w:lineRule="auto"/>
      </w:pPr>
      <w:r>
        <w:separator/>
      </w:r>
    </w:p>
  </w:footnote>
  <w:footnote w:type="continuationSeparator" w:id="0">
    <w:p w14:paraId="55E741EC" w14:textId="77777777" w:rsidR="00895BC3" w:rsidRDefault="00895BC3" w:rsidP="00253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BE74" w14:textId="123ED588" w:rsidR="00992CDC" w:rsidRDefault="00B75A56" w:rsidP="00992CDC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4"/>
    <w:rsid w:val="00046D7F"/>
    <w:rsid w:val="00121E40"/>
    <w:rsid w:val="00253E32"/>
    <w:rsid w:val="003F39E8"/>
    <w:rsid w:val="00421609"/>
    <w:rsid w:val="005B4914"/>
    <w:rsid w:val="006971C0"/>
    <w:rsid w:val="006B395A"/>
    <w:rsid w:val="006D55E3"/>
    <w:rsid w:val="007E2DC3"/>
    <w:rsid w:val="0088782E"/>
    <w:rsid w:val="00895BC3"/>
    <w:rsid w:val="00A323E3"/>
    <w:rsid w:val="00A35DB9"/>
    <w:rsid w:val="00A725AE"/>
    <w:rsid w:val="00B75A56"/>
    <w:rsid w:val="00B843E7"/>
    <w:rsid w:val="00CB4B54"/>
    <w:rsid w:val="00D06330"/>
    <w:rsid w:val="00E61616"/>
    <w:rsid w:val="00F066B3"/>
    <w:rsid w:val="00FB382D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16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thern"/>
    <w:qFormat/>
    <w:rsid w:val="00CB4B54"/>
    <w:pPr>
      <w:autoSpaceDE w:val="0"/>
      <w:autoSpaceDN w:val="0"/>
      <w:adjustRightInd w:val="0"/>
      <w:spacing w:line="300" w:lineRule="exact"/>
    </w:pPr>
    <w:rPr>
      <w:rFonts w:ascii="Times" w:eastAsia="Calibri" w:hAnsi="Times" w:cs="Minion-Regular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54"/>
    <w:rPr>
      <w:rFonts w:ascii="Times" w:eastAsia="Calibri" w:hAnsi="Times" w:cs="Minion-Regular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54"/>
    <w:rPr>
      <w:rFonts w:ascii="Times" w:eastAsia="Calibri" w:hAnsi="Times" w:cs="Minion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2018-02-01T19:25:00Z</dcterms:created>
  <dcterms:modified xsi:type="dcterms:W3CDTF">2018-02-02T21:18:00Z</dcterms:modified>
</cp:coreProperties>
</file>